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as set out in Framework Schedule 1 (Specification) and Framework Schedule 2 (</w:t>
      </w:r>
      <w:r w:rsidDel="00000000" w:rsidR="00000000" w:rsidRPr="00000000">
        <w:rPr>
          <w:rFonts w:ascii="Arial" w:cs="Arial" w:eastAsia="Arial" w:hAnsi="Arial"/>
          <w:color w:val="000000"/>
          <w:sz w:val="24"/>
          <w:szCs w:val="24"/>
          <w:rtl w:val="0"/>
        </w:rPr>
        <w:t xml:space="preserve">Framework Tender)</w:t>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07">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E">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0">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rtl w:val="0"/>
        </w:rPr>
        <w:t xml:space="preserve">Deliverables as set out in Framework Schedule 1 (Specification) and Framework </w:t>
      </w:r>
      <w:r w:rsidDel="00000000" w:rsidR="00000000" w:rsidRPr="00000000">
        <w:rPr>
          <w:rFonts w:ascii="Arial" w:cs="Arial" w:eastAsia="Arial" w:hAnsi="Arial"/>
          <w:color w:val="000000"/>
          <w:sz w:val="24"/>
          <w:szCs w:val="24"/>
          <w:rtl w:val="0"/>
        </w:rPr>
        <w:t xml:space="preserve">Schedule 2 (Framework Tender)</w:t>
      </w:r>
      <w:r w:rsidDel="00000000" w:rsidR="00000000" w:rsidRPr="00000000">
        <w:rPr>
          <w:rFonts w:ascii="Arial" w:cs="Arial" w:eastAsia="Arial" w:hAnsi="Arial"/>
          <w:color w:val="000000"/>
          <w:sz w:val="24"/>
          <w:szCs w:val="24"/>
          <w:rtl w:val="0"/>
        </w:rPr>
        <w:t xml:space="preserve"> for all Suppliers capable of meeting the Statement of Requirements in order to establish which Supplier provides the most economically advantageous solution; and</w:t>
      </w:r>
    </w:p>
    <w:p w:rsidR="00000000" w:rsidDel="00000000" w:rsidP="00000000" w:rsidRDefault="00000000" w:rsidRPr="00000000" w14:paraId="00000011">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4">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5">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6">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7">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8">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9">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A">
      <w:pPr>
        <w:keepNext w:val="1"/>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B">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C">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D">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E">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F">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0">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1">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2">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3">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4">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5">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6">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tabs>
          <w:tab w:val="left" w:leader="none"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9">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A">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B">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C">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D">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E">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F">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0">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1">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2">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3">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4">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5">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6">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7">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8">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9">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A">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B">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C">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6a Further Competition (Order Form Template and Call-Off Schedules)  and 6b Direct Award (Order Form Template and Call-Off Schedules).</w:t>
      </w:r>
    </w:p>
    <w:p w:rsidR="00000000" w:rsidDel="00000000" w:rsidP="00000000" w:rsidRDefault="00000000" w:rsidRPr="00000000" w14:paraId="0000003D">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E">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F">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0">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41">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42">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43">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44">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45">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as set out in Framework Schedule 1 (Specification) and Framework Schedule 2 (</w:t>
      </w:r>
      <w:r w:rsidDel="00000000" w:rsidR="00000000" w:rsidRPr="00000000">
        <w:rPr>
          <w:rFonts w:ascii="Arial" w:cs="Arial" w:eastAsia="Arial" w:hAnsi="Arial"/>
          <w:color w:val="000000"/>
          <w:sz w:val="24"/>
          <w:szCs w:val="24"/>
          <w:rtl w:val="0"/>
        </w:rPr>
        <w:t xml:space="preserve">Framework Tender</w:t>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46">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48">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49">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rdcrjn" w:id="8"/>
      <w:bookmarkEnd w:id="8"/>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4A">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4D">
      <w:pPr>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4E">
      <w:pPr>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4F">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0">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13"/>
        <w:gridCol w:w="4513"/>
        <w:tblGridChange w:id="0">
          <w:tblGrid>
            <w:gridCol w:w="4513"/>
            <w:gridCol w:w="4513"/>
          </w:tblGrid>
        </w:tblGridChange>
      </w:tblGrid>
      <w:tr>
        <w:trPr>
          <w:cantSplit w:val="0"/>
          <w:tblHeader w:val="0"/>
        </w:trPr>
        <w:tc>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tabs>
                <w:tab w:val="left" w:leader="none" w:pos="851"/>
              </w:tabs>
              <w:spacing w:after="120" w:before="120" w:lineRule="auto"/>
              <w:jc w:val="both"/>
              <w:rPr>
                <w:rFonts w:ascii="Arial" w:cs="Arial" w:eastAsia="Arial" w:hAnsi="Arial"/>
                <w:color w:val="000000"/>
              </w:rPr>
            </w:pPr>
            <w:r w:rsidDel="00000000" w:rsidR="00000000" w:rsidRPr="00000000">
              <w:rPr>
                <w:rFonts w:ascii="Arial" w:cs="Arial" w:eastAsia="Arial" w:hAnsi="Arial"/>
                <w:b w:val="1"/>
                <w:color w:val="000000"/>
                <w:rtl w:val="0"/>
              </w:rPr>
              <w:t xml:space="preserve">Criteria</w:t>
            </w:r>
            <w:r w:rsidDel="00000000" w:rsidR="00000000" w:rsidRPr="00000000">
              <w:rPr>
                <w:rtl w:val="0"/>
              </w:rPr>
            </w:r>
          </w:p>
        </w:tc>
        <w:tc>
          <w:tcPr/>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tabs>
                <w:tab w:val="left" w:leader="none" w:pos="851"/>
              </w:tabs>
              <w:spacing w:after="120" w:before="120" w:lineRule="auto"/>
              <w:jc w:val="both"/>
              <w:rPr>
                <w:rFonts w:ascii="Arial" w:cs="Arial" w:eastAsia="Arial" w:hAnsi="Arial"/>
                <w:b w:val="1"/>
                <w:color w:val="000000"/>
              </w:rPr>
            </w:pPr>
            <w:r w:rsidDel="00000000" w:rsidR="00000000" w:rsidRPr="00000000">
              <w:rPr>
                <w:rFonts w:ascii="Arial" w:cs="Arial" w:eastAsia="Arial" w:hAnsi="Arial"/>
                <w:b w:val="1"/>
                <w:sz w:val="24"/>
                <w:szCs w:val="24"/>
                <w:rtl w:val="0"/>
              </w:rPr>
              <w:t xml:space="preserve">Relative weighting percentage</w:t>
            </w:r>
            <w:r w:rsidDel="00000000" w:rsidR="00000000" w:rsidRPr="00000000">
              <w:rPr>
                <w:rtl w:val="0"/>
              </w:rPr>
            </w:r>
          </w:p>
        </w:tc>
      </w:tr>
      <w:tr>
        <w:trPr>
          <w:cantSplit w:val="0"/>
          <w:tblHeader w:val="0"/>
        </w:trPr>
        <w:tc>
          <w:tcPr/>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tabs>
                <w:tab w:val="left" w:leader="none" w:pos="851"/>
              </w:tabs>
              <w:rPr>
                <w:rFonts w:ascii="Arial" w:cs="Arial" w:eastAsia="Arial" w:hAnsi="Arial"/>
                <w:color w:val="000000"/>
              </w:rPr>
            </w:pPr>
            <w:r w:rsidDel="00000000" w:rsidR="00000000" w:rsidRPr="00000000">
              <w:rPr>
                <w:rFonts w:ascii="Arial" w:cs="Arial" w:eastAsia="Arial" w:hAnsi="Arial"/>
                <w:color w:val="000000"/>
                <w:u w:val="single"/>
                <w:rtl w:val="0"/>
              </w:rPr>
              <w:t xml:space="preserve">Quality </w:t>
            </w:r>
            <w:r w:rsidDel="00000000" w:rsidR="00000000" w:rsidRPr="00000000">
              <w:rPr>
                <w:rFonts w:ascii="Arial" w:cs="Arial" w:eastAsia="Arial" w:hAnsi="Arial"/>
                <w:color w:val="000000"/>
                <w:rtl w:val="0"/>
              </w:rPr>
              <w:t xml:space="preserve">- Which may include but is not limited to:</w:t>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tabs>
                <w:tab w:val="left" w:leader="none" w:pos="592"/>
              </w:tabs>
              <w:ind w:left="592" w:hanging="309"/>
              <w:rPr/>
            </w:pPr>
            <w:r w:rsidDel="00000000" w:rsidR="00000000" w:rsidRPr="00000000">
              <w:rPr>
                <w:rtl w:val="0"/>
              </w:rPr>
              <w:t xml:space="preserve">[Delivery time, </w:t>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tabs>
                <w:tab w:val="left" w:leader="none" w:pos="592"/>
              </w:tabs>
              <w:ind w:left="592" w:hanging="309"/>
              <w:rPr/>
            </w:pPr>
            <w:r w:rsidDel="00000000" w:rsidR="00000000" w:rsidRPr="00000000">
              <w:rPr>
                <w:rtl w:val="0"/>
              </w:rPr>
              <w:t xml:space="preserve">Sales service, </w:t>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tabs>
                <w:tab w:val="left" w:leader="none" w:pos="592"/>
              </w:tabs>
              <w:ind w:left="592" w:hanging="309"/>
              <w:rPr/>
            </w:pPr>
            <w:r w:rsidDel="00000000" w:rsidR="00000000" w:rsidRPr="00000000">
              <w:rPr>
                <w:rtl w:val="0"/>
              </w:rPr>
              <w:t xml:space="preserve">Added Value, </w:t>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tabs>
                <w:tab w:val="left" w:leader="none" w:pos="592"/>
              </w:tabs>
              <w:ind w:left="592" w:hanging="309"/>
              <w:rPr/>
            </w:pPr>
            <w:r w:rsidDel="00000000" w:rsidR="00000000" w:rsidRPr="00000000">
              <w:rPr>
                <w:rtl w:val="0"/>
              </w:rPr>
              <w:t xml:space="preserve">Accessories</w:t>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tabs>
                <w:tab w:val="left" w:leader="none" w:pos="592"/>
              </w:tabs>
              <w:ind w:left="592" w:hanging="309"/>
              <w:rPr/>
            </w:pPr>
            <w:r w:rsidDel="00000000" w:rsidR="00000000" w:rsidRPr="00000000">
              <w:rPr>
                <w:rtl w:val="0"/>
              </w:rPr>
              <w:t xml:space="preserve">Service fitness for purpose]</w:t>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tabs>
                <w:tab w:val="left" w:leader="none" w:pos="309"/>
              </w:tabs>
              <w:ind w:left="309" w:hanging="309"/>
              <w:rPr/>
            </w:pPr>
            <w:r w:rsidDel="00000000" w:rsidR="00000000" w:rsidRPr="00000000">
              <w:rPr>
                <w:rtl w:val="0"/>
              </w:rPr>
              <w:t xml:space="preserve">[Use Of Supply Chain / Partners]</w:t>
            </w:r>
            <w:r w:rsidDel="00000000" w:rsidR="00000000" w:rsidRPr="00000000">
              <w:rPr>
                <w:rtl w:val="0"/>
              </w:rPr>
            </w:r>
          </w:p>
        </w:tc>
        <w:tc>
          <w:tcPr/>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rPr>
            </w:pPr>
            <w:r w:rsidDel="00000000" w:rsidR="00000000" w:rsidRPr="00000000">
              <w:rPr>
                <w:rFonts w:ascii="Arial" w:cs="Arial" w:eastAsia="Arial" w:hAnsi="Arial"/>
                <w:b w:val="1"/>
                <w:sz w:val="24"/>
                <w:szCs w:val="24"/>
                <w:rtl w:val="0"/>
              </w:rPr>
              <w:t xml:space="preserve">10-80%</w:t>
            </w:r>
            <w:r w:rsidDel="00000000" w:rsidR="00000000" w:rsidRPr="00000000">
              <w:rPr>
                <w:rtl w:val="0"/>
              </w:rPr>
            </w:r>
          </w:p>
        </w:tc>
      </w:tr>
      <w:tr>
        <w:trPr>
          <w:cantSplit w:val="0"/>
          <w:tblHeader w:val="0"/>
        </w:trPr>
        <w:tc>
          <w:tcPr/>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Price </w:t>
            </w:r>
          </w:p>
        </w:tc>
        <w:tc>
          <w:tcPr/>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10-80%</w:t>
            </w:r>
          </w:p>
        </w:tc>
      </w:tr>
      <w:tr>
        <w:trPr>
          <w:cantSplit w:val="0"/>
          <w:tblHeader w:val="0"/>
        </w:trPr>
        <w:tc>
          <w:tcPr/>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Social Value</w:t>
            </w:r>
          </w:p>
        </w:tc>
        <w:tc>
          <w:tcPr/>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w:t>
            </w:r>
          </w:p>
        </w:tc>
      </w:tr>
    </w:tbl>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61">
      <w:pPr>
        <w:keepNext w:val="1"/>
        <w:widowControl w:val="1"/>
        <w:pBdr>
          <w:top w:space="0" w:sz="0" w:val="nil"/>
          <w:left w:space="0" w:sz="0" w:val="nil"/>
          <w:bottom w:space="0" w:sz="0" w:val="nil"/>
          <w:right w:space="0" w:sz="0" w:val="nil"/>
          <w:between w:space="0" w:sz="0" w:val="nil"/>
        </w:pBdr>
        <w:spacing w:after="240" w:before="240" w:lineRule="auto"/>
        <w:rPr/>
      </w:pPr>
      <w:r w:rsidDel="00000000" w:rsidR="00000000" w:rsidRPr="00000000">
        <w:rPr>
          <w:rtl w:val="0"/>
        </w:rPr>
        <w:t xml:space="preserve">In keeping with PPN 06/20, the Buyer should agree with the Supplier what they can and will do to help work towards the social value priorities set out in the Framework Schedule 1 (Specification).  Buyers should discuss with the Supplier what would be an appropriate and proportionate commitment, and this commitment will form part of the Call-off Contract.  Buyers would then evaluate the Supplier’s performance against this commitment as part of ongoing contract management.</w:t>
      </w:r>
    </w:p>
    <w:p w:rsidR="00000000" w:rsidDel="00000000" w:rsidP="00000000" w:rsidRDefault="00000000" w:rsidRPr="00000000" w14:paraId="00000062">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63">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there are 2 or more Suppliers who could provide the Buyer’s requirements a Further Competition Procedure shall be undertaken.</w:t>
      </w:r>
      <w:r w:rsidDel="00000000" w:rsidR="00000000" w:rsidRPr="00000000">
        <w:rPr>
          <w:rtl w:val="0"/>
        </w:rPr>
      </w:r>
    </w:p>
    <w:p w:rsidR="00000000" w:rsidDel="00000000" w:rsidP="00000000" w:rsidRDefault="00000000" w:rsidRPr="00000000" w14:paraId="00000064">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one supplier on a lot, and you require Deliverables that are not laid down in this Contract, you should approach the supplier to agree as paragraph 3 above.</w:t>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08.6666666666665"/>
        <w:gridCol w:w="3008.6666666666665"/>
        <w:gridCol w:w="3008.6666666666665"/>
        <w:tblGridChange w:id="0">
          <w:tblGrid>
            <w:gridCol w:w="3008.6666666666665"/>
            <w:gridCol w:w="3008.6666666666665"/>
            <w:gridCol w:w="3008.6666666666665"/>
          </w:tblGrid>
        </w:tblGridChange>
      </w:tblGrid>
      <w:tr>
        <w:trPr>
          <w:cantSplit w:val="0"/>
          <w:tblHeader w:val="0"/>
        </w:trPr>
        <w:tc>
          <w:tcPr>
            <w:shd w:fill="e7e6e6" w:val="clear"/>
          </w:tcPr>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tabs>
                <w:tab w:val="left" w:leader="none"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Criteria</w:t>
            </w:r>
          </w:p>
        </w:tc>
        <w:tc>
          <w:tcPr>
            <w:shd w:fill="e7e6e6" w:val="clear"/>
          </w:tcPr>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left" w:leader="none"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Percentage Weightings - to be set by the Customer  conducting the Further Competition Procedure</w:t>
            </w:r>
          </w:p>
        </w:tc>
        <w:tc>
          <w:tcPr>
            <w:shd w:fill="e7e6e6" w:val="clear"/>
          </w:tcPr>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Allowable Variance </w:t>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may be modified by the Customer within the range below) </w:t>
            </w:r>
          </w:p>
        </w:tc>
      </w:tr>
      <w:tr>
        <w:trPr>
          <w:cantSplit w:val="0"/>
          <w:tblHeader w:val="0"/>
        </w:trPr>
        <w:tc>
          <w:tcPr/>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Quality </w:t>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tabs>
                <w:tab w:val="left" w:leader="none" w:pos="592"/>
              </w:tabs>
              <w:ind w:left="592" w:hanging="3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tab/>
              <w:t xml:space="preserve">Added Value</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left" w:leader="none" w:pos="592"/>
              </w:tabs>
              <w:ind w:left="592" w:hanging="3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tab/>
              <w:t xml:space="preserve">Innovation</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left" w:leader="none" w:pos="592"/>
              </w:tabs>
              <w:ind w:left="592" w:hanging="3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tab/>
              <w:t xml:space="preserve">Approach To Delivery Of The Services</w:t>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left" w:leader="none" w:pos="592"/>
              </w:tabs>
              <w:ind w:left="592" w:hanging="3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tab/>
              <w:t xml:space="preserve">Implementation</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left" w:leader="none" w:pos="592"/>
              </w:tabs>
              <w:ind w:left="592" w:hanging="3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tab/>
              <w:t xml:space="preserve">Use Of Supply Chain / Partners</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45%</w:t>
            </w:r>
          </w:p>
        </w:tc>
        <w:tc>
          <w:tcPr/>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10%-80%</w:t>
            </w:r>
          </w:p>
        </w:tc>
      </w:tr>
      <w:tr>
        <w:trPr>
          <w:cantSplit w:val="0"/>
          <w:tblHeader w:val="0"/>
        </w:trPr>
        <w:tc>
          <w:tcPr/>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bookmarkStart w:colFirst="0" w:colLast="0" w:name="_heading=h.26in1rg" w:id="9"/>
            <w:bookmarkEnd w:id="9"/>
            <w:r w:rsidDel="00000000" w:rsidR="00000000" w:rsidRPr="00000000">
              <w:rPr>
                <w:rFonts w:ascii="Arial" w:cs="Arial" w:eastAsia="Arial" w:hAnsi="Arial"/>
                <w:color w:val="000000"/>
                <w:sz w:val="24"/>
                <w:szCs w:val="24"/>
                <w:rtl w:val="0"/>
              </w:rPr>
              <w:t xml:space="preserve">Price  (life cycle costs, cost effectiveness &amp; price; price and running costs)]</w:t>
            </w:r>
          </w:p>
        </w:tc>
        <w:tc>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45%</w:t>
            </w:r>
          </w:p>
        </w:tc>
        <w:tc>
          <w:tcPr/>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10%-80%</w:t>
            </w:r>
          </w:p>
        </w:tc>
      </w:tr>
      <w:tr>
        <w:trPr>
          <w:cantSplit w:val="0"/>
          <w:tblHeader w:val="0"/>
        </w:trPr>
        <w:tc>
          <w:tcPr/>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Social Value</w:t>
            </w:r>
          </w:p>
        </w:tc>
        <w:tc>
          <w:tcPr/>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w:t>
            </w:r>
          </w:p>
        </w:tc>
        <w:tc>
          <w:tcPr/>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10% Minimum</w:t>
            </w:r>
            <w:r w:rsidDel="00000000" w:rsidR="00000000" w:rsidRPr="00000000">
              <w:rPr>
                <w:rtl w:val="0"/>
              </w:rPr>
            </w:r>
          </w:p>
        </w:tc>
      </w:tr>
    </w:tbl>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weighting must equal 100% with Social Value composing a minimum of 10% in keeping with PPN 06/20 and guidance document 12/20 may have their own social value priorities which they will make clear to the suppliers involved in that competition. To test the tenderers’ social value during the call-off stage, buyers must adhere to the standard evaluation procedure,including the award criteria and sub-criteria, described in the framework agreement terms, conditions and instructions.</w:t>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86">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87">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8">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tab/>
      <w:t xml:space="preserve">                                           </w:t>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B">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heading=h.gjdgxs" w:id="10"/>
    <w:bookmarkEnd w:id="10"/>
    <w:r w:rsidDel="00000000" w:rsidR="00000000" w:rsidRPr="00000000">
      <w:rPr>
        <w:rFonts w:ascii="Arial" w:cs="Arial" w:eastAsia="Arial" w:hAnsi="Arial"/>
        <w:sz w:val="20"/>
        <w:szCs w:val="20"/>
        <w:rtl w:val="0"/>
      </w:rPr>
      <w:t xml:space="preserve">Model Version : v3.3</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00484"/>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6"/>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6"/>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6"/>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500484"/>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tmz7yPbxLCwRDASQ3TcntiqkrA==">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2024-01-16T18:36:00Z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y fmtid="{D5CDD505-2E9C-101B-9397-08002B2CF9AE}" pid="9" name="AppVersion">
    <vt:lpwstr>14.0000</vt:lpwstr>
  </property>
  <property fmtid="{D5CDD505-2E9C-101B-9397-08002B2CF9AE}" pid="10" name="ScaleCrop">
    <vt:lpwstr>false</vt:lpwstr>
  </property>
  <property fmtid="{D5CDD505-2E9C-101B-9397-08002B2CF9AE}" pid="11" name="DocSecurity">
    <vt:lpwstr>0.0</vt:lpwstr>
  </property>
  <property fmtid="{D5CDD505-2E9C-101B-9397-08002B2CF9AE}" pid="12" name="HyperlinksChanged">
    <vt:lpwstr>false</vt:lpwstr>
  </property>
  <property fmtid="{D5CDD505-2E9C-101B-9397-08002B2CF9AE}" pid="13" name="LinksUpToDate">
    <vt:lpwstr>false</vt:lpwstr>
  </property>
  <property fmtid="{D5CDD505-2E9C-101B-9397-08002B2CF9AE}" pid="14" name="gCurrentVersion">
    <vt:lpwstr>15 November 2017 D1V4</vt:lpwstr>
  </property>
  <property fmtid="{D5CDD505-2E9C-101B-9397-08002B2CF9AE}" pid="15" name="ShareDoc">
    <vt:lpwstr>false</vt:lpwstr>
  </property>
</Properties>
</file>